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10" w:h="2780" w:hRule="exact" w:wrap="none" w:vAnchor="page" w:hAnchor="page" w:x="1724" w:y="1200"/>
        <w:widowControl w:val="0"/>
        <w:keepNext w:val="0"/>
        <w:keepLines w:val="0"/>
        <w:shd w:val="clear" w:color="auto" w:fill="auto"/>
        <w:bidi w:val="0"/>
        <w:spacing w:before="0" w:after="14" w:line="28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5"/>
        <w:framePr w:w="9710" w:h="2780" w:hRule="exact" w:wrap="none" w:vAnchor="page" w:hAnchor="page" w:x="1724" w:y="120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Положению о порядке и об условиях предоставления в аренду (в том числе</w:t>
        <w:br/>
        <w:t>льготы для субъектов малого и среднего предпринимательства, занимающихся</w:t>
        <w:br/>
        <w:t>социально значимыми видами деятельности) имущества, находящегося в</w:t>
        <w:br/>
        <w:t>муниципальной собственности муниципального образования Кашинский</w:t>
        <w:br/>
        <w:t>городской округ Тверской области, включенного в перечень, предусмотренный</w:t>
        <w:br/>
        <w:t>частью 4 статьи 18 Федерального закона от 24.07.2007 № 209-ФЗ «О развитии</w:t>
        <w:br/>
        <w:t>малого и среднего предпринимательства в Российской Федерации»»,</w:t>
        <w:br/>
        <w:t>утвержденному решением Кашинского городской Думы от 21.03.2019 № 116</w:t>
      </w:r>
    </w:p>
    <w:p>
      <w:pPr>
        <w:pStyle w:val="Style7"/>
        <w:numPr>
          <w:ilvl w:val="0"/>
          <w:numId w:val="1"/>
        </w:numPr>
        <w:framePr w:w="9710" w:h="10990" w:hRule="exact" w:wrap="none" w:vAnchor="page" w:hAnchor="page" w:x="1724" w:y="4601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Описание проблемы, на решение которой направлено правовое</w:t>
      </w:r>
    </w:p>
    <w:p>
      <w:pPr>
        <w:pStyle w:val="Style7"/>
        <w:framePr w:w="9710" w:h="10990" w:hRule="exact" w:wrap="none" w:vAnchor="page" w:hAnchor="page" w:x="1724" w:y="4601"/>
        <w:widowControl w:val="0"/>
        <w:keepNext w:val="0"/>
        <w:keepLines w:val="0"/>
        <w:shd w:val="clear" w:color="auto" w:fill="auto"/>
        <w:bidi w:val="0"/>
        <w:jc w:val="center"/>
        <w:spacing w:before="0" w:after="299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регулирование</w:t>
      </w:r>
    </w:p>
    <w:p>
      <w:pPr>
        <w:pStyle w:val="Style7"/>
        <w:framePr w:w="9710" w:h="10990" w:hRule="exact" w:wrap="none" w:vAnchor="page" w:hAnchor="page" w:x="1724" w:y="4601"/>
        <w:tabs>
          <w:tab w:leader="none" w:pos="1190" w:val="left"/>
          <w:tab w:leader="none" w:pos="3149" w:val="left"/>
          <w:tab w:leader="none" w:pos="3799" w:val="left"/>
          <w:tab w:leader="none" w:pos="4898" w:val="left"/>
          <w:tab w:leader="none" w:pos="6859" w:val="left"/>
          <w:tab w:leader="none" w:pos="85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порядке и об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предусмотренный частью 4 статьи 18 Федерального закона от 24.07.2007 № 209-ФЗ», утвержденное решением Кашинского городской Думы от 21.03.2019 № 116 (далее также— НПА) определяет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предусмотренный частью 4 статьи 18 Федерального закона</w:t>
        <w:tab/>
        <w:t>от 24.07.2007</w:t>
        <w:tab/>
        <w:t>№</w:t>
        <w:tab/>
        <w:t>209-ФЗ</w:t>
        <w:tab/>
        <w:t>«О развитии</w:t>
        <w:tab/>
        <w:t>малого и</w:t>
        <w:tab/>
        <w:t>среднего</w:t>
      </w:r>
    </w:p>
    <w:p>
      <w:pPr>
        <w:pStyle w:val="Style7"/>
        <w:framePr w:w="9710" w:h="10990" w:hRule="exact" w:wrap="none" w:vAnchor="page" w:hAnchor="page" w:x="1724" w:y="460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предпринимательства в Российской Федерации».</w:t>
      </w:r>
    </w:p>
    <w:p>
      <w:pPr>
        <w:pStyle w:val="Style7"/>
        <w:framePr w:w="9710" w:h="10990" w:hRule="exact" w:wrap="none" w:vAnchor="page" w:hAnchor="page" w:x="1724" w:y="4601"/>
        <w:widowControl w:val="0"/>
        <w:keepNext w:val="0"/>
        <w:keepLines w:val="0"/>
        <w:shd w:val="clear" w:color="auto" w:fill="auto"/>
        <w:bidi w:val="0"/>
        <w:spacing w:before="0" w:after="298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Положения НПА не предусматривают избыточных требований по подготовке и (или) предоставлению документов (информации).</w:t>
      </w:r>
    </w:p>
    <w:p>
      <w:pPr>
        <w:pStyle w:val="Style7"/>
        <w:numPr>
          <w:ilvl w:val="0"/>
          <w:numId w:val="1"/>
        </w:numPr>
        <w:framePr w:w="9710" w:h="10990" w:hRule="exact" w:wrap="none" w:vAnchor="page" w:hAnchor="page" w:x="1724" w:y="4601"/>
        <w:tabs>
          <w:tab w:leader="none" w:pos="19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24" w:lineRule="exact"/>
        <w:ind w:left="3020" w:right="1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Описание основной цели правового регулирования и результаты достижения цели</w:t>
      </w:r>
    </w:p>
    <w:p>
      <w:pPr>
        <w:pStyle w:val="Style7"/>
        <w:framePr w:w="9710" w:h="10990" w:hRule="exact" w:wrap="none" w:vAnchor="page" w:hAnchor="page" w:x="1724" w:y="4601"/>
        <w:tabs>
          <w:tab w:leader="none" w:pos="1190" w:val="left"/>
          <w:tab w:leader="none" w:pos="3149" w:val="left"/>
          <w:tab w:leader="none" w:pos="6859" w:val="left"/>
          <w:tab w:leader="none" w:pos="85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Основная цель правового регулирования НПА заключается в организации более эффективного использования муниципального имущества муниципального образования Кашинский городской округ Тверской области, создании условий для сохранения и развития социальной инфраструктуры, уровня</w:t>
        <w:tab/>
        <w:t>занятости и</w:t>
        <w:tab/>
        <w:t>социальных услуг для</w:t>
        <w:tab/>
        <w:t>населения,</w:t>
        <w:tab/>
        <w:t>развития</w:t>
      </w:r>
    </w:p>
    <w:p>
      <w:pPr>
        <w:pStyle w:val="Style7"/>
        <w:framePr w:w="9710" w:h="10990" w:hRule="exact" w:wrap="none" w:vAnchor="page" w:hAnchor="page" w:x="1724" w:y="4601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предпринимательской деятельности, увеличения доходов бюджета Кашинского городского округа.</w:t>
      </w:r>
    </w:p>
    <w:p>
      <w:pPr>
        <w:pStyle w:val="Style7"/>
        <w:framePr w:w="9710" w:h="10990" w:hRule="exact" w:wrap="none" w:vAnchor="page" w:hAnchor="page" w:x="1724" w:y="4601"/>
        <w:tabs>
          <w:tab w:leader="none" w:pos="8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Результатами достижения указанной цели являются:</w:t>
        <w:tab/>
        <w:t>обеспечение</w:t>
      </w:r>
    </w:p>
    <w:p>
      <w:pPr>
        <w:pStyle w:val="Style7"/>
        <w:framePr w:w="9710" w:h="10990" w:hRule="exact" w:wrap="none" w:vAnchor="page" w:hAnchor="page" w:x="1724" w:y="4601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потребности в использовании муниципального имущества муниципального образования Кашинский городской округ Тверской области; развитие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509" w:y="7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spacing w:before="0" w:after="328" w:line="3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социальной инфраструктуры; появление новых вакантных рабочих мест; повышение качества оказания социальных услуг для населения; развитие предпринимательской деятельности; пополнение бюджета Кашинского городского округа.</w:t>
      </w:r>
    </w:p>
    <w:p>
      <w:pPr>
        <w:pStyle w:val="Style7"/>
        <w:numPr>
          <w:ilvl w:val="0"/>
          <w:numId w:val="1"/>
        </w:numPr>
        <w:framePr w:w="9730" w:h="14219" w:hRule="exact" w:wrap="none" w:vAnchor="page" w:hAnchor="page" w:x="1714" w:y="1372"/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применения положений НПА в действующей практике (учитывается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jc w:val="center"/>
        <w:spacing w:before="0" w:after="304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положений НПА принципам правового регулирования,</w:t>
        <w:br/>
        <w:t>установленным законодательством)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</w:t>
      </w:r>
    </w:p>
    <w:p>
      <w:pPr>
        <w:pStyle w:val="Style7"/>
        <w:framePr w:w="9730" w:h="14219" w:hRule="exact" w:wrap="none" w:vAnchor="page" w:hAnchor="page" w:x="1714" w:y="1372"/>
        <w:tabs>
          <w:tab w:leader="none" w:pos="360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Положения НПА:</w:t>
        <w:tab/>
        <w:t>предусматривает предоставление в аренду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spacing w:before="0" w:after="302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имущества, включенного в Перечень, предусмотренный частью 4 статьи 18 Федерального закона от 24.07.2007 № 209-ФЗ «О развитии малого и среднего предпринимательства в Российской Федерации», субъектам малого и среднего предпринимательства, организациям, образующих инфраструктуру поддержки субъектов малого и среднего предпринимательства, отвечающим требованиям, установленным Федеральным законом от 24.07.2007 № 209-ФЗ «О развитии малого и среднего предпринимательства в Российской Федерации», как с проведением торгов, так и без их проведения; определяют организатора торгов и арендатора муниципального имущества Кашинского городского округа, требования к заявлению заинтересованных лиц о предоставлении муниципального имущества Кашинского городского округа в аренду, а также требования о том, какие документы должны быть приложены к данному заявлению; предусматривают иное правовое регулирование</w:t>
      </w:r>
    </w:p>
    <w:p>
      <w:pPr>
        <w:pStyle w:val="Style7"/>
        <w:numPr>
          <w:ilvl w:val="0"/>
          <w:numId w:val="1"/>
        </w:numPr>
        <w:framePr w:w="9730" w:h="14219" w:hRule="exact" w:wrap="none" w:vAnchor="page" w:hAnchor="page" w:x="1714" w:y="1372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31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утверждения НПА в адрес Администрации Кашинского городского округа не поступали обращения от юридических и физических лиц, связанные с применением положений данного НПА либо с возникающими затруднениями в его применении.</w:t>
      </w:r>
    </w:p>
    <w:p>
      <w:pPr>
        <w:pStyle w:val="Style7"/>
        <w:framePr w:w="9730" w:h="14219" w:hRule="exact" w:wrap="none" w:vAnchor="page" w:hAnchor="page" w:x="1714" w:y="1372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НПА имеет высокую степень воздействия на регулируемые отношения в сфере предпринимательской и инвестиционной деятельности, так как напрямую затрагивает сферу деятельности предпринимательства. Вместе с тем, НПА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Колонтитул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120" w:after="600" w:line="30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600" w:after="120" w:line="0" w:lineRule="exact"/>
      <w:ind w:hanging="1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Колонтитул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